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3402"/>
        <w:gridCol w:w="12189"/>
      </w:tblGrid>
      <w:tr>
        <w:tc>
          <w:tcPr>
            <w:tcW w:type="dxa" w:w="785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start w:w="0" w:type="dxa"/>
              <w:bottom w:w="0" w:type="dxa"/>
              <w:end w:w="0" w:type="dxa"/>
            </w:tcMar>
            <w:vAlign w:val="center"/>
          </w:tcPr>
          <w:p>
            <w:pPr>
              <w:jc w:val="left"/>
            </w:pPr>
            <w:r>
              <w:drawing>
                <wp:inline xmlns:a="http://schemas.openxmlformats.org/drawingml/2006/main" xmlns:pic="http://schemas.openxmlformats.org/drawingml/2006/picture">
                  <wp:extent cx="1944000" cy="486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Winkelmann-2025-11-12-a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0" cy="486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785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start w:w="0" w:type="dxa"/>
              <w:bottom w:w="0" w:type="dxa"/>
              <w:end w:w="0" w:type="dxa"/>
            </w:tcMar>
            <w:vAlign w:val="center"/>
          </w:tcPr>
          <w:p>
            <w:pPr>
              <w:jc w:val="right"/>
            </w:pPr>
            <w:r>
              <w:rPr>
                <w:b/>
                <w:color w:val="0A1F33"/>
                <w:sz w:val="36"/>
              </w:rPr>
              <w:t>Speicherort-Landkarte für Geschäftsdaten</w:t>
            </w:r>
          </w:p>
          <w:p>
            <w:pPr>
              <w:jc w:val="right"/>
            </w:pPr>
            <w:r>
              <w:rPr>
                <w:color w:val="007D86"/>
                <w:sz w:val="19"/>
              </w:rPr>
              <w:t>Vorlage zur Artikelreihe „30 Tage Datensicherheit“</w:t>
            </w:r>
          </w:p>
        </w:tc>
      </w:tr>
    </w:tbl>
    <w:p>
      <w:pPr>
        <w:spacing w:before="80" w:after="120"/>
        <w:pBdr>
          <w:bottom w:val="single" w:sz="8" w:space="1" w:color="007D86"/>
        </w:pBdr>
      </w:pPr>
      <w:r/>
    </w:p>
    <w:p>
      <w:pPr>
        <w:spacing w:after="80"/>
      </w:pPr>
      <w:r>
        <w:rPr>
          <w:b/>
        </w:rPr>
        <w:t xml:space="preserve">Ziel: </w:t>
      </w:r>
      <w:r>
        <w:t>Erfassen Sie alle Orte, an denen wichtige Geschäftsdaten liegen. Ein Backup ist nur so vollständig wie die Speicherorte, die bekannt sind.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35"/>
        <w:gridCol w:w="5235"/>
        <w:gridCol w:w="5235"/>
      </w:tblGrid>
      <w:tr>
        <w:tc>
          <w:tcPr>
            <w:tcW w:type="dxa" w:w="5102"/>
            <w:shd w:fill="F2F7F7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sz="6" w:val="single" w:color="D6E4E5"/>
              <w:left w:sz="6" w:val="single" w:color="D6E4E5"/>
              <w:bottom w:sz="6" w:val="single" w:color="D6E4E5"/>
              <w:right w:sz="6" w:val="single" w:color="D6E4E5"/>
            </w:tcBorders>
          </w:tcPr>
          <w:p>
            <w:r>
              <w:rPr>
                <w:b/>
                <w:color w:val="007D86"/>
                <w:sz w:val="18"/>
              </w:rPr>
              <w:t>1. Speicherorte sammeln</w:t>
            </w:r>
          </w:p>
          <w:p>
            <w:pPr>
              <w:spacing w:after="0"/>
            </w:pPr>
            <w:r>
              <w:rPr>
                <w:sz w:val="15"/>
              </w:rPr>
              <w:t>PC, Laptop, Smartphone, E-Mail, Cloud, NAS, USB-Stick, Software und Scanner-Ordner prüfen.</w:t>
            </w:r>
          </w:p>
        </w:tc>
        <w:tc>
          <w:tcPr>
            <w:tcW w:type="dxa" w:w="5102"/>
            <w:shd w:fill="F2F7F7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sz="6" w:val="single" w:color="D6E4E5"/>
              <w:left w:sz="6" w:val="single" w:color="D6E4E5"/>
              <w:bottom w:sz="6" w:val="single" w:color="D6E4E5"/>
              <w:right w:sz="6" w:val="single" w:color="D6E4E5"/>
            </w:tcBorders>
          </w:tcPr>
          <w:p>
            <w:r>
              <w:rPr>
                <w:b/>
                <w:color w:val="007D86"/>
                <w:sz w:val="18"/>
              </w:rPr>
              <w:t>2. Daten zuordnen</w:t>
            </w:r>
          </w:p>
          <w:p>
            <w:pPr>
              <w:spacing w:after="0"/>
            </w:pPr>
            <w:r>
              <w:rPr>
                <w:sz w:val="15"/>
              </w:rPr>
              <w:t>Notieren, welche Daten dort liegen: Rechnungen, Kundendaten, Fotos, Belege, Angebote, Exporte.</w:t>
            </w:r>
          </w:p>
        </w:tc>
        <w:tc>
          <w:tcPr>
            <w:tcW w:type="dxa" w:w="5102"/>
            <w:shd w:fill="F2F7F7"/>
            <w:tcMar>
              <w:top w:w="100" w:type="dxa"/>
              <w:start w:w="120" w:type="dxa"/>
              <w:bottom w:w="100" w:type="dxa"/>
              <w:end w:w="120" w:type="dxa"/>
            </w:tcMar>
            <w:tcBorders>
              <w:top w:sz="6" w:val="single" w:color="D6E4E5"/>
              <w:left w:sz="6" w:val="single" w:color="D6E4E5"/>
              <w:bottom w:sz="6" w:val="single" w:color="D6E4E5"/>
              <w:right w:sz="6" w:val="single" w:color="D6E4E5"/>
            </w:tcBorders>
          </w:tcPr>
          <w:p>
            <w:r>
              <w:rPr>
                <w:b/>
                <w:color w:val="007D86"/>
                <w:sz w:val="18"/>
              </w:rPr>
              <w:t>3. Risiko bewerten</w:t>
            </w:r>
          </w:p>
          <w:p>
            <w:pPr>
              <w:spacing w:after="0"/>
            </w:pPr>
            <w:r>
              <w:rPr>
                <w:sz w:val="15"/>
              </w:rPr>
              <w:t>Kennzeichnen, ob dieser Ort gesichert wird und wer dafür verantwortlich ist.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814"/>
        <w:gridCol w:w="2948"/>
        <w:gridCol w:w="2268"/>
        <w:gridCol w:w="1928"/>
        <w:gridCol w:w="1361"/>
        <w:gridCol w:w="2041"/>
        <w:gridCol w:w="3005"/>
      </w:tblGrid>
      <w:tr>
        <w:tc>
          <w:tcPr>
            <w:tcW w:type="dxa" w:w="1814"/>
            <w:shd w:fill="0A1F33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6" w:val="single" w:color="0A1F33"/>
              <w:left w:sz="6" w:val="single" w:color="FFFFFF"/>
              <w:bottom w:sz="6" w:val="single" w:color="0A1F33"/>
              <w:right w:sz="6" w:val="single" w:color="FFFFFF"/>
            </w:tcBorders>
          </w:tcPr>
          <w:p>
            <w:r>
              <w:rPr>
                <w:b/>
                <w:color w:val="FFFFFF"/>
                <w:sz w:val="15"/>
              </w:rPr>
              <w:t>Speicherort</w:t>
            </w:r>
          </w:p>
        </w:tc>
        <w:tc>
          <w:tcPr>
            <w:tcW w:type="dxa" w:w="2948"/>
            <w:shd w:fill="0A1F33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6" w:val="single" w:color="0A1F33"/>
              <w:left w:sz="6" w:val="single" w:color="FFFFFF"/>
              <w:bottom w:sz="6" w:val="single" w:color="0A1F33"/>
              <w:right w:sz="6" w:val="single" w:color="FFFFFF"/>
            </w:tcBorders>
          </w:tcPr>
          <w:p>
            <w:r>
              <w:rPr>
                <w:b/>
                <w:color w:val="FFFFFF"/>
                <w:sz w:val="15"/>
              </w:rPr>
              <w:t>Welche Daten liegen dort?</w:t>
            </w:r>
          </w:p>
        </w:tc>
        <w:tc>
          <w:tcPr>
            <w:tcW w:type="dxa" w:w="2268"/>
            <w:shd w:fill="0A1F33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6" w:val="single" w:color="0A1F33"/>
              <w:left w:sz="6" w:val="single" w:color="FFFFFF"/>
              <w:bottom w:sz="6" w:val="single" w:color="0A1F33"/>
              <w:right w:sz="6" w:val="single" w:color="FFFFFF"/>
            </w:tcBorders>
          </w:tcPr>
          <w:p>
            <w:r>
              <w:rPr>
                <w:b/>
                <w:color w:val="FFFFFF"/>
                <w:sz w:val="15"/>
              </w:rPr>
              <w:t>Wer nutzt diesen Speicherort?</w:t>
            </w:r>
          </w:p>
        </w:tc>
        <w:tc>
          <w:tcPr>
            <w:tcW w:type="dxa" w:w="1928"/>
            <w:shd w:fill="0A1F33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6" w:val="single" w:color="0A1F33"/>
              <w:left w:sz="6" w:val="single" w:color="FFFFFF"/>
              <w:bottom w:sz="6" w:val="single" w:color="0A1F33"/>
              <w:right w:sz="6" w:val="single" w:color="FFFFFF"/>
            </w:tcBorders>
          </w:tcPr>
          <w:p>
            <w:r>
              <w:rPr>
                <w:b/>
                <w:color w:val="FFFFFF"/>
                <w:sz w:val="15"/>
              </w:rPr>
              <w:t>Wird dieser Ort gesichert?</w:t>
            </w:r>
          </w:p>
        </w:tc>
        <w:tc>
          <w:tcPr>
            <w:tcW w:type="dxa" w:w="1361"/>
            <w:shd w:fill="0A1F33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6" w:val="single" w:color="0A1F33"/>
              <w:left w:sz="6" w:val="single" w:color="FFFFFF"/>
              <w:bottom w:sz="6" w:val="single" w:color="0A1F33"/>
              <w:right w:sz="6" w:val="single" w:color="FFFFFF"/>
            </w:tcBorders>
          </w:tcPr>
          <w:p>
            <w:r>
              <w:rPr>
                <w:b/>
                <w:color w:val="FFFFFF"/>
                <w:sz w:val="15"/>
              </w:rPr>
              <w:t>Wie oft?</w:t>
            </w:r>
          </w:p>
        </w:tc>
        <w:tc>
          <w:tcPr>
            <w:tcW w:type="dxa" w:w="2041"/>
            <w:shd w:fill="0A1F33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6" w:val="single" w:color="0A1F33"/>
              <w:left w:sz="6" w:val="single" w:color="FFFFFF"/>
              <w:bottom w:sz="6" w:val="single" w:color="0A1F33"/>
              <w:right w:sz="6" w:val="single" w:color="FFFFFF"/>
            </w:tcBorders>
          </w:tcPr>
          <w:p>
            <w:r>
              <w:rPr>
                <w:b/>
                <w:color w:val="FFFFFF"/>
                <w:sz w:val="15"/>
              </w:rPr>
              <w:t>Wer ist verantwortlich?</w:t>
            </w:r>
          </w:p>
        </w:tc>
        <w:tc>
          <w:tcPr>
            <w:tcW w:type="dxa" w:w="3005"/>
            <w:shd w:fill="0A1F33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6" w:val="single" w:color="0A1F33"/>
              <w:left w:sz="6" w:val="single" w:color="FFFFFF"/>
              <w:bottom w:sz="6" w:val="single" w:color="0A1F33"/>
              <w:right w:sz="6" w:val="single" w:color="FFFFFF"/>
            </w:tcBorders>
          </w:tcPr>
          <w:p>
            <w:r>
              <w:rPr>
                <w:b/>
                <w:color w:val="FFFFFF"/>
                <w:sz w:val="15"/>
              </w:rPr>
              <w:t>Risiko bei Verlust</w:t>
            </w:r>
          </w:p>
        </w:tc>
      </w:tr>
      <w:tr>
        <w:tc>
          <w:tcPr>
            <w:tcW w:type="dxa" w:w="1814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shd w:fill="EAF4F4"/>
            <w:vAlign w:val="center"/>
          </w:tcPr>
          <w:p>
            <w:r>
              <w:rPr>
                <w:i/>
                <w:color w:val="44525C"/>
                <w:sz w:val="14"/>
              </w:rPr>
              <w:t>Beispiel: Büro-PC</w:t>
            </w:r>
          </w:p>
        </w:tc>
        <w:tc>
          <w:tcPr>
            <w:tcW w:type="dxa" w:w="294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shd w:fill="EAF4F4"/>
            <w:vAlign w:val="center"/>
          </w:tcPr>
          <w:p>
            <w:r>
              <w:rPr>
                <w:i/>
                <w:color w:val="44525C"/>
                <w:sz w:val="14"/>
              </w:rPr>
              <w:t>Rechnungen, Angebote, Dokumente</w:t>
            </w:r>
          </w:p>
        </w:tc>
        <w:tc>
          <w:tcPr>
            <w:tcW w:type="dxa" w:w="226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shd w:fill="EAF4F4"/>
            <w:vAlign w:val="center"/>
          </w:tcPr>
          <w:p>
            <w:r>
              <w:rPr>
                <w:i/>
                <w:color w:val="44525C"/>
                <w:sz w:val="14"/>
              </w:rPr>
              <w:t>Inhaber / Büro</w:t>
            </w:r>
          </w:p>
        </w:tc>
        <w:tc>
          <w:tcPr>
            <w:tcW w:type="dxa" w:w="192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shd w:fill="EAF4F4"/>
            <w:vAlign w:val="center"/>
          </w:tcPr>
          <w:p>
            <w:r>
              <w:rPr>
                <w:i/>
                <w:color w:val="44525C"/>
                <w:sz w:val="14"/>
              </w:rPr>
              <w:t>unklar</w:t>
            </w:r>
          </w:p>
        </w:tc>
        <w:tc>
          <w:tcPr>
            <w:tcW w:type="dxa" w:w="1361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shd w:fill="EAF4F4"/>
            <w:vAlign w:val="center"/>
          </w:tcPr>
          <w:p>
            <w:r>
              <w:rPr>
                <w:i/>
                <w:color w:val="44525C"/>
                <w:sz w:val="14"/>
              </w:rPr>
              <w:t>unbekannt</w:t>
            </w:r>
          </w:p>
        </w:tc>
        <w:tc>
          <w:tcPr>
            <w:tcW w:type="dxa" w:w="2041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shd w:fill="EAF4F4"/>
            <w:vAlign w:val="center"/>
          </w:tcPr>
          <w:p>
            <w:r>
              <w:rPr>
                <w:i/>
                <w:color w:val="44525C"/>
                <w:sz w:val="14"/>
              </w:rPr>
              <w:t>Inhaber</w:t>
            </w:r>
          </w:p>
        </w:tc>
        <w:tc>
          <w:tcPr>
            <w:tcW w:type="dxa" w:w="3005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shd w:fill="EAF4F4"/>
            <w:vAlign w:val="center"/>
          </w:tcPr>
          <w:p>
            <w:r>
              <w:rPr>
                <w:i/>
                <w:color w:val="44525C"/>
                <w:sz w:val="14"/>
              </w:rPr>
              <w:t>hoch: Arbeitsausfall / fehlende Nachweise</w:t>
            </w:r>
          </w:p>
        </w:tc>
      </w:tr>
      <w:tr>
        <w:tc>
          <w:tcPr>
            <w:tcW w:type="dxa" w:w="1814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294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226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192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1361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2041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3005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</w:tr>
      <w:tr>
        <w:tc>
          <w:tcPr>
            <w:tcW w:type="dxa" w:w="1814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294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226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192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1361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2041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3005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</w:tr>
      <w:tr>
        <w:tc>
          <w:tcPr>
            <w:tcW w:type="dxa" w:w="1814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294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226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192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1361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2041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3005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</w:tr>
      <w:tr>
        <w:tc>
          <w:tcPr>
            <w:tcW w:type="dxa" w:w="1814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294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226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192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1361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2041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3005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</w:tr>
      <w:tr>
        <w:tc>
          <w:tcPr>
            <w:tcW w:type="dxa" w:w="1814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294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226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192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1361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2041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3005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</w:tr>
      <w:tr>
        <w:tc>
          <w:tcPr>
            <w:tcW w:type="dxa" w:w="1814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294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226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192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1361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2041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3005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</w:tr>
      <w:tr>
        <w:tc>
          <w:tcPr>
            <w:tcW w:type="dxa" w:w="1814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294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226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192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1361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2041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3005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</w:tr>
      <w:tr>
        <w:tc>
          <w:tcPr>
            <w:tcW w:type="dxa" w:w="1814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294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226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1928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1361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2041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  <w:tc>
          <w:tcPr>
            <w:tcW w:type="dxa" w:w="3005"/>
            <w:tcMar>
              <w:top w:w="80" w:type="dxa"/>
              <w:start w:w="80" w:type="dxa"/>
              <w:bottom w:w="80" w:type="dxa"/>
              <w:end w:w="80" w:type="dxa"/>
            </w:tcMar>
            <w:tcBorders>
              <w:top w:sz="4" w:val="single" w:color="D9E2E3"/>
              <w:left w:sz="4" w:val="single" w:color="D9E2E3"/>
              <w:bottom w:sz="4" w:val="single" w:color="D9E2E3"/>
              <w:right w:sz="4" w:val="single" w:color="D9E2E3"/>
            </w:tcBorders>
            <w:vAlign w:val="center"/>
          </w:tcPr>
          <w:p>
            <w:r>
              <w:rPr>
                <w:sz w:val="22"/>
              </w:rPr>
              <w:t xml:space="preserve"> </w:t>
            </w:r>
          </w:p>
        </w:tc>
      </w:tr>
    </w:tbl>
    <w:p>
      <w:pPr>
        <w:spacing w:before="80" w:after="0"/>
      </w:pPr>
      <w:r>
        <w:rPr>
          <w:b/>
          <w:color w:val="007D86"/>
          <w:sz w:val="15"/>
        </w:rPr>
        <w:t xml:space="preserve">Hinweis: </w:t>
      </w:r>
      <w:r>
        <w:rPr>
          <w:sz w:val="15"/>
        </w:rPr>
        <w:t>Tragen Sie zuerst die bekannten Speicherorte ein. Alles mit „nein“ oder „unklar“ ist ein möglicher Handlungsbedarf.</w:t>
      </w:r>
    </w:p>
    <w:sectPr w:rsidR="00FC693F" w:rsidRPr="0006063C" w:rsidSect="00034616">
      <w:footerReference w:type="default" r:id="rId10"/>
      <w:pgSz w:w="16838" w:h="11906" w:orient="landscape"/>
      <w:pgMar w:top="510" w:right="567" w:bottom="652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0A1F33"/>
        <w:sz w:val="14"/>
      </w:rPr>
      <w:t xml:space="preserve">Winkelmann.Software | </w:t>
    </w:r>
    <w:hyperlink r:id="rId1">
      <w:r>
        <w:rPr>
          <w:color w:val="007D86"/>
          <w:u w:val="single"/>
        </w:rPr>
        <w:t>https://winkelmann.software/</w:t>
      </w:r>
    </w:hyperlink>
    <w:r>
      <w:rPr>
        <w:color w:val="0A1F33"/>
        <w:sz w:val="14"/>
      </w:rPr>
      <w:t xml:space="preserve"> | Artikel: </w:t>
    </w:r>
    <w:hyperlink r:id="rId2">
      <w:r>
        <w:rPr>
          <w:color w:val="007D86"/>
          <w:u w:val="single"/>
        </w:rPr>
        <w:t>https://winkelmann.software/datensicherheit/geschaeftsdaten-sichern/</w:t>
      </w:r>
    </w:hyperlink>
    <w:r>
      <w:rPr>
        <w:color w:val="0A1F33"/>
        <w:sz w:val="14"/>
      </w:rPr>
      <w:t xml:space="preserve"> | Seite 1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color w:val="0A1F33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_rels/footer1.xml.rels><?xml version='1.0' encoding='UTF-8' standalone='yes'?>
<Relationships xmlns="http://schemas.openxmlformats.org/package/2006/relationships"><Relationship Id="rId1" Type="http://schemas.openxmlformats.org/officeDocument/2006/relationships/hyperlink" Target="https://winkelmann.software/" TargetMode="External"/><Relationship Id="rId2" Type="http://schemas.openxmlformats.org/officeDocument/2006/relationships/hyperlink" Target="https://winkelmann.software/datensicherheit/geschaeftsdaten-sicher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